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A9056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 w:rsidRPr="000D7AF8"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Pr="000D7AF8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D7AF8"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0D7AF8">
        <w:rPr>
          <w:rStyle w:val="normaltextrun"/>
          <w:rFonts w:ascii="Times" w:hAnsi="Times" w:cs="Times"/>
          <w:b/>
          <w:bCs/>
        </w:rPr>
        <w:t>POWIERZENIA PRZETWARZANIA DANYCH OSOBOWYCH</w:t>
      </w:r>
      <w:r w:rsidRPr="000D7AF8">
        <w:rPr>
          <w:rStyle w:val="eop"/>
          <w:rFonts w:ascii="Times" w:hAnsi="Times" w:cs="Times"/>
        </w:rPr>
        <w:t> </w:t>
      </w:r>
    </w:p>
    <w:p w14:paraId="236233A1" w14:textId="77777777" w:rsidR="00BE3FC4" w:rsidRPr="000D7AF8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0E80CB4A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 w:rsidRPr="000D7AF8">
        <w:rPr>
          <w:rStyle w:val="normaltextrun"/>
          <w:rFonts w:ascii="Times" w:hAnsi="Times" w:cs="Times"/>
        </w:rPr>
        <w:t xml:space="preserve">zawarta  </w:t>
      </w:r>
      <w:r w:rsidR="000D7AF8">
        <w:rPr>
          <w:rStyle w:val="normaltextrun"/>
          <w:rFonts w:ascii="Times" w:hAnsi="Times" w:cs="Times"/>
        </w:rPr>
        <w:t>…</w:t>
      </w:r>
      <w:proofErr w:type="gramEnd"/>
      <w:r w:rsidR="000D7AF8">
        <w:rPr>
          <w:rStyle w:val="normaltextrun"/>
          <w:rFonts w:ascii="Times" w:hAnsi="Times" w:cs="Times"/>
        </w:rPr>
        <w:t>……</w:t>
      </w:r>
      <w:r w:rsidRPr="000D7AF8">
        <w:rPr>
          <w:rStyle w:val="normaltextrun"/>
          <w:rFonts w:ascii="Times" w:hAnsi="Times" w:cs="Times"/>
        </w:rPr>
        <w:t>w ………………, zwana dalej „</w:t>
      </w:r>
      <w:r w:rsidRPr="000D7AF8">
        <w:rPr>
          <w:rStyle w:val="normaltextrun"/>
          <w:rFonts w:ascii="Times" w:hAnsi="Times" w:cs="Times"/>
          <w:b/>
          <w:bCs/>
        </w:rPr>
        <w:t>Umową Powierzenia</w:t>
      </w:r>
      <w:r w:rsidRPr="000D7AF8"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Pr="000D7AF8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0D7AF8">
        <w:rPr>
          <w:rStyle w:val="normaltextrun"/>
          <w:rFonts w:ascii="Times" w:hAnsi="Times" w:cs="Times"/>
        </w:rPr>
        <w:t xml:space="preserve">Generalnym Dyrektorem Dróg Krajowych i Autostrad, </w:t>
      </w:r>
      <w:r w:rsidRPr="000D7AF8">
        <w:rPr>
          <w:rFonts w:ascii="Times" w:hAnsi="Times" w:cs="Times"/>
          <w:bCs/>
        </w:rPr>
        <w:t>z siedzibą w Warszawie pod adresem: ul. Wronia 53, 00-874 Warszawa, zwanym dalej „</w:t>
      </w:r>
      <w:r w:rsidRPr="000D7AF8">
        <w:rPr>
          <w:rFonts w:ascii="Times" w:hAnsi="Times" w:cs="Times"/>
          <w:b/>
          <w:bCs/>
        </w:rPr>
        <w:t>Administratorem</w:t>
      </w:r>
      <w:r w:rsidRPr="000D7AF8">
        <w:rPr>
          <w:rFonts w:ascii="Times" w:hAnsi="Times" w:cs="Times"/>
          <w:bCs/>
        </w:rPr>
        <w:t xml:space="preserve">”, reprezentowanym przez: </w:t>
      </w:r>
    </w:p>
    <w:p w14:paraId="0836A19B" w14:textId="6CBE0484" w:rsidR="00BE3FC4" w:rsidRPr="000D7AF8" w:rsidRDefault="00BE3FC4" w:rsidP="00B978C5">
      <w:pPr>
        <w:pStyle w:val="ARTartustawynprozporzdzenia"/>
        <w:ind w:firstLine="0"/>
        <w:jc w:val="left"/>
        <w:rPr>
          <w:rStyle w:val="eop"/>
        </w:rPr>
      </w:pPr>
      <w:r w:rsidRPr="000D7AF8">
        <w:rPr>
          <w:rStyle w:val="normaltextrun"/>
          <w:rFonts w:cs="Times"/>
        </w:rPr>
        <w:t>……………………………………………………………….,</w:t>
      </w:r>
    </w:p>
    <w:p w14:paraId="32E25A9A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>a</w:t>
      </w:r>
    </w:p>
    <w:p w14:paraId="30BA8EA1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0D7AF8">
        <w:rPr>
          <w:rStyle w:val="normaltextrun"/>
          <w:rFonts w:ascii="Times" w:hAnsi="Times" w:cs="Times"/>
        </w:rPr>
        <w:t>…………………………………………………………</w:t>
      </w:r>
      <w:proofErr w:type="gramStart"/>
      <w:r w:rsidRPr="000D7AF8">
        <w:rPr>
          <w:rStyle w:val="normaltextrun"/>
          <w:rFonts w:ascii="Times" w:hAnsi="Times" w:cs="Times"/>
        </w:rPr>
        <w:t>…….</w:t>
      </w:r>
      <w:proofErr w:type="gramEnd"/>
      <w:r w:rsidRPr="000D7AF8">
        <w:rPr>
          <w:rStyle w:val="normaltextrun"/>
          <w:rFonts w:ascii="Times" w:hAnsi="Times" w:cs="Times"/>
        </w:rPr>
        <w:t>, wpisaną do rejestru przedsiębiorców prowadzonego przez Sąd ………………………………………………</w:t>
      </w:r>
      <w:proofErr w:type="gramStart"/>
      <w:r w:rsidRPr="000D7AF8">
        <w:rPr>
          <w:rStyle w:val="normaltextrun"/>
          <w:rFonts w:ascii="Times" w:hAnsi="Times" w:cs="Times"/>
        </w:rPr>
        <w:t>…….</w:t>
      </w:r>
      <w:proofErr w:type="gramEnd"/>
      <w:r w:rsidRPr="000D7AF8">
        <w:rPr>
          <w:rStyle w:val="normaltextrun"/>
          <w:rFonts w:ascii="Times" w:hAnsi="Times" w:cs="Times"/>
        </w:rPr>
        <w:t>., nr KRS ………………</w:t>
      </w:r>
      <w:proofErr w:type="gramStart"/>
      <w:r w:rsidRPr="000D7AF8">
        <w:rPr>
          <w:rStyle w:val="normaltextrun"/>
          <w:rFonts w:ascii="Times" w:hAnsi="Times" w:cs="Times"/>
        </w:rPr>
        <w:t>…….</w:t>
      </w:r>
      <w:proofErr w:type="gramEnd"/>
      <w:r w:rsidRPr="000D7AF8">
        <w:rPr>
          <w:rStyle w:val="normaltextrun"/>
          <w:rFonts w:ascii="Times" w:hAnsi="Times" w:cs="Times"/>
        </w:rPr>
        <w:t>. REGON ……………………………</w:t>
      </w:r>
      <w:proofErr w:type="gramStart"/>
      <w:r w:rsidRPr="000D7AF8">
        <w:rPr>
          <w:rStyle w:val="normaltextrun"/>
          <w:rFonts w:ascii="Times" w:hAnsi="Times" w:cs="Times"/>
        </w:rPr>
        <w:t>…….</w:t>
      </w:r>
      <w:proofErr w:type="gramEnd"/>
      <w:r w:rsidRPr="000D7AF8">
        <w:rPr>
          <w:rStyle w:val="normaltextrun"/>
          <w:rFonts w:ascii="Times" w:hAnsi="Times" w:cs="Times"/>
        </w:rPr>
        <w:t xml:space="preserve">, NIP ………………………………………, </w:t>
      </w:r>
      <w:r w:rsidRPr="000D7AF8">
        <w:rPr>
          <w:rStyle w:val="contextualspellingandgrammarerror"/>
          <w:rFonts w:ascii="Times" w:hAnsi="Times" w:cs="Times"/>
        </w:rPr>
        <w:t>zwaną dalej</w:t>
      </w:r>
      <w:r w:rsidRPr="000D7AF8"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  <w:b/>
          <w:bCs/>
        </w:rPr>
        <w:t>„Przetwarzającym”,</w:t>
      </w:r>
      <w:r w:rsidRPr="000D7AF8">
        <w:rPr>
          <w:rStyle w:val="eop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 xml:space="preserve">……….., </w:t>
      </w:r>
    </w:p>
    <w:p w14:paraId="679DA482" w14:textId="50C029A6" w:rsidR="00BE3FC4" w:rsidRPr="000D7AF8" w:rsidRDefault="00BE3FC4" w:rsidP="00B978C5">
      <w:pPr>
        <w:pStyle w:val="paragraph"/>
        <w:spacing w:before="0" w:beforeAutospacing="0" w:after="0" w:afterAutospacing="0"/>
        <w:jc w:val="both"/>
        <w:textAlignment w:val="baseline"/>
      </w:pPr>
      <w:r w:rsidRPr="000D7AF8">
        <w:rPr>
          <w:i/>
          <w:iCs/>
        </w:rPr>
        <w:t xml:space="preserve"> </w:t>
      </w:r>
    </w:p>
    <w:p w14:paraId="25BD0F81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0D7AF8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>łącznie zwane „</w:t>
      </w:r>
      <w:r w:rsidRPr="000D7AF8">
        <w:rPr>
          <w:rStyle w:val="normaltextrun"/>
          <w:rFonts w:ascii="Times" w:hAnsi="Times" w:cs="Times"/>
          <w:b/>
        </w:rPr>
        <w:t>Stronami</w:t>
      </w:r>
      <w:r w:rsidRPr="000D7AF8">
        <w:rPr>
          <w:rStyle w:val="normaltextrun"/>
          <w:rFonts w:ascii="Times" w:hAnsi="Times" w:cs="Times"/>
        </w:rPr>
        <w:t>”</w:t>
      </w:r>
    </w:p>
    <w:p w14:paraId="23024A22" w14:textId="77777777" w:rsidR="00BE3FC4" w:rsidRPr="000D7AF8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0D7AF8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0D7AF8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0D7AF8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61BF23FF" w14:textId="77777777" w:rsidR="000D7AF8" w:rsidRDefault="00BE3FC4" w:rsidP="000D7AF8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>W celu wykonania umowy nr…</w:t>
      </w:r>
      <w:proofErr w:type="gramStart"/>
      <w:r w:rsidRPr="000D7AF8">
        <w:rPr>
          <w:rStyle w:val="normaltextrun"/>
          <w:rFonts w:ascii="Times" w:hAnsi="Times" w:cs="Times"/>
        </w:rPr>
        <w:t>…….</w:t>
      </w:r>
      <w:proofErr w:type="gramEnd"/>
      <w:r w:rsidRPr="000D7AF8">
        <w:rPr>
          <w:rStyle w:val="normaltextrun"/>
          <w:rFonts w:ascii="Times" w:hAnsi="Times" w:cs="Times"/>
        </w:rPr>
        <w:t>. z 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0C144DE1" w14:textId="3A54C966" w:rsidR="0073085D" w:rsidRPr="000D7AF8" w:rsidRDefault="00BE3FC4" w:rsidP="000D7AF8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contextualspellingandgrammarerror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0D7AF8">
        <w:rPr>
          <w:rStyle w:val="contextualspellingandgrammarerror"/>
          <w:rFonts w:ascii="Times" w:hAnsi="Times" w:cs="Times"/>
        </w:rPr>
        <w:t>osobowe</w:t>
      </w:r>
      <w:r w:rsidR="0073085D" w:rsidRPr="000D7AF8">
        <w:rPr>
          <w:rStyle w:val="contextualspellingandgrammarerror"/>
          <w:rFonts w:ascii="Times" w:hAnsi="Times" w:cs="Times"/>
        </w:rPr>
        <w:t>:</w:t>
      </w:r>
      <w:r w:rsidRPr="000D7AF8">
        <w:rPr>
          <w:rStyle w:val="contextualspellingandgrammarerror"/>
          <w:rFonts w:ascii="Times" w:hAnsi="Times" w:cs="Times"/>
        </w:rPr>
        <w:t xml:space="preserve"> </w:t>
      </w:r>
    </w:p>
    <w:p w14:paraId="2680C0E5" w14:textId="673D380F" w:rsidR="0073085D" w:rsidRPr="0073085D" w:rsidRDefault="0073085D" w:rsidP="0073085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 xml:space="preserve">- </w:t>
      </w:r>
      <w:r w:rsidRPr="0073085D">
        <w:rPr>
          <w:rStyle w:val="normaltextrun"/>
          <w:rFonts w:ascii="Times" w:hAnsi="Times" w:cs="Times"/>
          <w:b/>
          <w:bCs/>
        </w:rPr>
        <w:t>Właścicieli/najemców/dzierżawców nieruchomości będących przedmiotem zadania oraz nieruchomości sąsiednich, niezbędnych do przeprowadzenia badań i pomiarów oraz objętych maksymalnym negatywnym oddziaływaniem</w:t>
      </w:r>
    </w:p>
    <w:p w14:paraId="207D8EF6" w14:textId="731BEC4B" w:rsidR="0073085D" w:rsidRPr="0073085D" w:rsidRDefault="0073085D" w:rsidP="0073085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Times" w:hAnsi="Times" w:cs="Times"/>
        </w:rPr>
      </w:pPr>
      <w:r w:rsidRPr="0073085D">
        <w:rPr>
          <w:rStyle w:val="normaltextrun"/>
          <w:rFonts w:ascii="Times" w:hAnsi="Times" w:cs="Times"/>
        </w:rPr>
        <w:t xml:space="preserve">w zakresie: </w:t>
      </w:r>
      <w:r w:rsidRPr="0073085D">
        <w:rPr>
          <w:rStyle w:val="normaltextrun"/>
          <w:rFonts w:ascii="Times" w:hAnsi="Times" w:cs="Times"/>
          <w:b/>
          <w:bCs/>
        </w:rPr>
        <w:t>imienia, nazwiska, adresu zamieszkania, nr telefonu, adresu e-mail, nr działki, nr KW.</w:t>
      </w:r>
    </w:p>
    <w:p w14:paraId="49A06F08" w14:textId="6F0D8B49" w:rsidR="0073085D" w:rsidRPr="0073085D" w:rsidRDefault="0073085D" w:rsidP="0073085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b/>
          <w:bCs/>
        </w:rPr>
      </w:pPr>
      <w:r>
        <w:rPr>
          <w:rStyle w:val="normaltextrun"/>
          <w:rFonts w:ascii="Times" w:hAnsi="Times" w:cs="Times"/>
        </w:rPr>
        <w:t xml:space="preserve">- </w:t>
      </w:r>
      <w:r w:rsidRPr="0073085D">
        <w:rPr>
          <w:rStyle w:val="normaltextrun"/>
          <w:rFonts w:ascii="Times" w:hAnsi="Times" w:cs="Times"/>
          <w:b/>
          <w:bCs/>
        </w:rPr>
        <w:t>Zarejestrowane na etapie prowadzenia pomiarów ruchu (w przypadku zastosowania metody rejestracji obrazu) w zakresie wizerunku osób w pojazdach, identyfikacji wizualnej zastosowanej na pojazdach oraz osób postronnych w polu widzenia urządzeń rejestrujących.</w:t>
      </w:r>
    </w:p>
    <w:p w14:paraId="40B31B60" w14:textId="684D5E49" w:rsidR="0073085D" w:rsidRPr="00BA7ADC" w:rsidRDefault="00BE3FC4" w:rsidP="00BA7ADC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BA7ADC">
        <w:rPr>
          <w:rStyle w:val="normaltextrun"/>
          <w:rFonts w:ascii="Times" w:hAnsi="Times" w:cs="Times"/>
        </w:rPr>
        <w:t>Przetwarzający jest uprawniony do wykonywania, na danych osobowych, o których mowa w ust. 2,</w:t>
      </w:r>
      <w:r w:rsidR="00BA7ADC" w:rsidRPr="00BA7ADC">
        <w:rPr>
          <w:rStyle w:val="normaltextrun"/>
          <w:rFonts w:ascii="Times" w:hAnsi="Times" w:cs="Times"/>
        </w:rPr>
        <w:t xml:space="preserve"> </w:t>
      </w:r>
      <w:r w:rsidRPr="00BA7ADC">
        <w:rPr>
          <w:rStyle w:val="normaltextrun"/>
          <w:rFonts w:ascii="Times" w:hAnsi="Times" w:cs="Times"/>
        </w:rPr>
        <w:t xml:space="preserve">następujących operacji: </w:t>
      </w:r>
      <w:r w:rsidR="0073085D" w:rsidRPr="00BA7ADC">
        <w:rPr>
          <w:rStyle w:val="normaltextrun"/>
          <w:rFonts w:ascii="Times" w:hAnsi="Times" w:cs="Times"/>
          <w:b/>
          <w:bCs/>
          <w:sz w:val="22"/>
          <w:szCs w:val="22"/>
        </w:rPr>
        <w:t>gromadzenie, utrwalanie, opracowywanie, przechowywanie, przesyłanie, usuwanie.</w:t>
      </w:r>
    </w:p>
    <w:p w14:paraId="64D7984A" w14:textId="4E5B7BD8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 xml:space="preserve">w okresie </w:t>
      </w:r>
      <w:r w:rsidR="0073085D" w:rsidRPr="000D7AF8">
        <w:rPr>
          <w:rStyle w:val="normaltextrun"/>
          <w:rFonts w:ascii="Times" w:hAnsi="Times" w:cs="Times"/>
          <w:b/>
          <w:bCs/>
        </w:rPr>
        <w:t xml:space="preserve">obowiązywania </w:t>
      </w:r>
      <w:r w:rsidR="00BA7ADC" w:rsidRPr="000D7AF8">
        <w:rPr>
          <w:rStyle w:val="normaltextrun"/>
          <w:rFonts w:ascii="Times" w:hAnsi="Times" w:cs="Times"/>
          <w:b/>
          <w:bCs/>
        </w:rPr>
        <w:t>U</w:t>
      </w:r>
      <w:r w:rsidR="0073085D" w:rsidRPr="000D7AF8">
        <w:rPr>
          <w:rStyle w:val="normaltextrun"/>
          <w:rFonts w:ascii="Times" w:hAnsi="Times" w:cs="Times"/>
          <w:b/>
          <w:bCs/>
        </w:rPr>
        <w:t>mowy</w:t>
      </w:r>
      <w:r w:rsidR="0073085D" w:rsidRPr="000D7AF8"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>/przez okres obowiązywania Umowy.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0D7AF8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0D7AF8">
        <w:rPr>
          <w:rStyle w:val="normaltextrun"/>
          <w:rFonts w:ascii="Times" w:hAnsi="Times" w:cs="Times"/>
        </w:rPr>
        <w:lastRenderedPageBreak/>
        <w:t>Przetwarzający oświadcza, że nie będzie przetwarzał powierzonych danych osobowych w państwie trzecim, tj. w państwie nienależącym do Europejskiego Obszaru Gospodarczego.</w:t>
      </w:r>
      <w:r w:rsidRPr="000D7AF8">
        <w:rPr>
          <w:rStyle w:val="eop"/>
          <w:rFonts w:ascii="Times" w:hAnsi="Times" w:cs="Times"/>
        </w:rPr>
        <w:t> </w:t>
      </w:r>
    </w:p>
    <w:p w14:paraId="0186570D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87789D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              </w:t>
      </w: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77777777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>
        <w:rPr>
          <w:rStyle w:val="normaltextrun"/>
          <w:rFonts w:ascii="Times" w:hAnsi="Times" w:cs="Times"/>
        </w:rPr>
        <w:t xml:space="preserve">albo sprzeciw </w:t>
      </w:r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57116463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 xml:space="preserve">w terminie </w:t>
      </w:r>
      <w:r w:rsidR="00BA7ADC" w:rsidRPr="00BA7ADC">
        <w:rPr>
          <w:rStyle w:val="normaltextrun"/>
          <w:rFonts w:ascii="Times" w:hAnsi="Times" w:cs="Times"/>
          <w:b/>
          <w:bCs/>
        </w:rPr>
        <w:t>14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proofErr w:type="gramStart"/>
      <w:r w:rsidRPr="003521F6">
        <w:rPr>
          <w:rStyle w:val="contextualspellingandgrammarerror"/>
          <w:rFonts w:ascii="Times" w:hAnsi="Times" w:cs="Times"/>
        </w:rPr>
        <w:t>nie wywiązania</w:t>
      </w:r>
      <w:proofErr w:type="gramEnd"/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</w:p>
    <w:p w14:paraId="797E85B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proofErr w:type="gramStart"/>
      <w:r>
        <w:rPr>
          <w:rStyle w:val="normaltextrun"/>
          <w:rFonts w:ascii="Times" w:hAnsi="Times" w:cs="Times"/>
        </w:rPr>
        <w:t>III  Rozporządzenia</w:t>
      </w:r>
      <w:proofErr w:type="gramEnd"/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 xml:space="preserve">niezwłocznie, nie później niż w terminie 24 godzin od stwierdzenia </w:t>
      </w:r>
      <w:proofErr w:type="gramStart"/>
      <w:r w:rsidRPr="00ED33CD">
        <w:rPr>
          <w:rStyle w:val="normaltextrun"/>
          <w:rFonts w:cs="Times"/>
        </w:rPr>
        <w:t>zdarzenia</w:t>
      </w:r>
      <w:proofErr w:type="gramEnd"/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0D7AF8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0D7AF8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0D7AF8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0D7AF8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0D7AF8">
        <w:rPr>
          <w:rStyle w:val="normaltextrun"/>
          <w:rFonts w:ascii="Times" w:hAnsi="Times" w:cs="Times"/>
        </w:rPr>
        <w:t>Przetwarzający zobowiązuje się do naprawienia szkody wyrządzonej Administratorowi w wyniku naruszenia danych osobowych z winy Przetwarzającego lub Dalszego 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71056B6B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  <w:highlight w:val="yellow"/>
        </w:rPr>
      </w:pPr>
    </w:p>
    <w:p w14:paraId="46E8DDE2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535BDA55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</w:t>
      </w:r>
      <w:r w:rsidR="00BA7ADC" w:rsidRPr="00BA7ADC">
        <w:rPr>
          <w:rStyle w:val="normaltextrun"/>
          <w:rFonts w:ascii="Times" w:hAnsi="Times" w:cs="Times"/>
          <w:b/>
          <w:bCs/>
        </w:rPr>
        <w:t>trwa przez okres</w:t>
      </w:r>
      <w:r w:rsidR="00BA7ADC">
        <w:rPr>
          <w:rStyle w:val="normaltextrun"/>
          <w:rFonts w:ascii="Times" w:hAnsi="Times" w:cs="Times"/>
        </w:rPr>
        <w:t xml:space="preserve"> </w:t>
      </w:r>
      <w:r w:rsidRPr="006F6005">
        <w:rPr>
          <w:rStyle w:val="normaltextrun"/>
          <w:rFonts w:ascii="Times" w:hAnsi="Times" w:cs="Times"/>
        </w:rPr>
        <w:t>obowiązywania Umowy</w:t>
      </w:r>
      <w:r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0DE76F62" w:rsidR="00BE3FC4" w:rsidRPr="006F6005" w:rsidRDefault="00BE3FC4" w:rsidP="000D7AF8">
      <w:pPr>
        <w:pStyle w:val="paragraph"/>
        <w:tabs>
          <w:tab w:val="left" w:pos="426"/>
        </w:tabs>
        <w:spacing w:before="0" w:beforeAutospacing="0" w:after="0" w:afterAutospacing="0"/>
        <w:ind w:left="357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BA7ADC" w:rsidRPr="00BA7ADC">
        <w:rPr>
          <w:rStyle w:val="normaltextrun"/>
          <w:rFonts w:ascii="Times" w:hAnsi="Times" w:cs="Times"/>
          <w:b/>
          <w:bCs/>
        </w:rPr>
        <w:t>14</w:t>
      </w:r>
      <w:r w:rsidRPr="00BA7ADC">
        <w:rPr>
          <w:rStyle w:val="normaltextrun"/>
          <w:rFonts w:ascii="Times" w:hAnsi="Times" w:cs="Times"/>
          <w:b/>
          <w:bCs/>
        </w:rPr>
        <w:t xml:space="preserve"> </w:t>
      </w:r>
      <w:r w:rsidRPr="006F6005">
        <w:rPr>
          <w:rStyle w:val="normaltextrun"/>
          <w:rFonts w:ascii="Times" w:hAnsi="Times" w:cs="Times"/>
        </w:rPr>
        <w:t>dni</w:t>
      </w:r>
      <w:r w:rsidRPr="0087789D">
        <w:rPr>
          <w:rStyle w:val="normaltextrun"/>
          <w:rFonts w:ascii="Times" w:hAnsi="Times" w:cs="Times"/>
        </w:rPr>
        <w:t xml:space="preserve"> 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3EF70BE5" w14:textId="4961592C" w:rsidR="00BE3FC4" w:rsidRPr="000D7AF8" w:rsidRDefault="00BE3FC4" w:rsidP="000D7AF8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3185E3B0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="000D7AF8">
        <w:rPr>
          <w:rStyle w:val="normaltextrun"/>
          <w:rFonts w:ascii="Times" w:hAnsi="Times" w:cs="Times"/>
        </w:rPr>
        <w:t>………………………………………………………….</w:t>
      </w:r>
    </w:p>
    <w:p w14:paraId="046F9DA9" w14:textId="1DAF3E66" w:rsidR="00BE3FC4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="000D7AF8">
        <w:rPr>
          <w:rStyle w:val="normaltextrun"/>
          <w:rFonts w:ascii="Times" w:hAnsi="Times" w:cs="Times"/>
        </w:rPr>
        <w:t>………………………………………………………….</w:t>
      </w:r>
    </w:p>
    <w:p w14:paraId="2F4035D7" w14:textId="77777777" w:rsidR="000D7AF8" w:rsidRPr="00C21821" w:rsidRDefault="000D7AF8" w:rsidP="000D7AF8">
      <w:pPr>
        <w:suppressAutoHyphens/>
        <w:autoSpaceDE w:val="0"/>
        <w:autoSpaceDN w:val="0"/>
        <w:adjustRightInd w:val="0"/>
        <w:spacing w:before="120" w:after="0" w:line="300" w:lineRule="exact"/>
        <w:ind w:left="1068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</w:p>
    <w:p w14:paraId="48FFFF9C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bookmarkStart w:id="1" w:name="_Hlk204602618"/>
      <w:bookmarkStart w:id="2" w:name="_Hlk204680050"/>
      <w:r w:rsidRPr="009C3581">
        <w:rPr>
          <w:rFonts w:ascii="Times" w:hAnsi="Times" w:cs="Times"/>
          <w:bCs/>
        </w:rPr>
        <w:t xml:space="preserve">W przypadku zmiany </w:t>
      </w:r>
      <w:r>
        <w:rPr>
          <w:rFonts w:ascii="Times" w:hAnsi="Times" w:cs="Times"/>
          <w:bCs/>
        </w:rPr>
        <w:t xml:space="preserve">osób lub </w:t>
      </w:r>
      <w:r w:rsidRPr="009C3581">
        <w:rPr>
          <w:rFonts w:ascii="Times" w:hAnsi="Times" w:cs="Times"/>
          <w:bCs/>
        </w:rPr>
        <w:t>danych kontaktowych, o których mowa w ust. 1, przez którąkolwiek ze Stron, Strona ta jest zobowiązana do niezwłocznego, jednak nie później niż w terminie 7 dni, poinformowania drugiej Strony o tym fakcie oraz wskazania now</w:t>
      </w:r>
      <w:r>
        <w:rPr>
          <w:rFonts w:ascii="Times" w:hAnsi="Times" w:cs="Times"/>
          <w:bCs/>
        </w:rPr>
        <w:t xml:space="preserve">ej osoby lub nowych </w:t>
      </w:r>
      <w:r w:rsidRPr="009C3581">
        <w:rPr>
          <w:rFonts w:ascii="Times" w:hAnsi="Times" w:cs="Times"/>
          <w:bCs/>
        </w:rPr>
        <w:t xml:space="preserve">danych kontaktowych. Zmiana taka nie wymaga zmiany </w:t>
      </w:r>
      <w:r w:rsidRPr="009C3581">
        <w:rPr>
          <w:rFonts w:ascii="Times" w:hAnsi="Times" w:cs="Times"/>
          <w:bCs/>
          <w:snapToGrid w:val="0"/>
        </w:rPr>
        <w:t xml:space="preserve">Umowy </w:t>
      </w:r>
      <w:r>
        <w:rPr>
          <w:rFonts w:ascii="Times" w:hAnsi="Times" w:cs="Times"/>
          <w:bCs/>
          <w:snapToGrid w:val="0"/>
        </w:rPr>
        <w:t>P</w:t>
      </w:r>
      <w:r w:rsidRPr="009C3581">
        <w:rPr>
          <w:rFonts w:ascii="Times" w:hAnsi="Times" w:cs="Times"/>
          <w:bCs/>
          <w:snapToGrid w:val="0"/>
        </w:rPr>
        <w:t>owierzenia</w:t>
      </w:r>
      <w:r w:rsidRPr="009C3581">
        <w:rPr>
          <w:rFonts w:ascii="Times" w:hAnsi="Times" w:cs="Times"/>
          <w:bCs/>
        </w:rPr>
        <w:t>. W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przypadku niewywiązania się jednej ze Stron z obowiązku, o którym mowa powyżej, korespondencja wysłana na podany w ust. 1 adres</w:t>
      </w:r>
      <w:r>
        <w:rPr>
          <w:rFonts w:ascii="Times" w:hAnsi="Times" w:cs="Times"/>
          <w:bCs/>
        </w:rPr>
        <w:t xml:space="preserve"> </w:t>
      </w:r>
      <w:r w:rsidRPr="009C3581">
        <w:rPr>
          <w:rFonts w:ascii="Times" w:hAnsi="Times" w:cs="Times"/>
          <w:bCs/>
        </w:rPr>
        <w:t>uważana będzie za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61DBBC5F" w14:textId="77777777" w:rsidR="000D7AF8" w:rsidRDefault="000D7AF8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4C5FAA2D" w14:textId="77777777" w:rsidR="000D7AF8" w:rsidRPr="009B52E1" w:rsidRDefault="000D7AF8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lastRenderedPageBreak/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266EC8B2" w14:textId="0D106D12" w:rsidR="00BE3FC4" w:rsidRPr="000D7AF8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Umowa została sporządzona w </w:t>
      </w:r>
      <w:r w:rsidR="00BA7ADC" w:rsidRPr="000D7AF8">
        <w:rPr>
          <w:rStyle w:val="normaltextrun"/>
          <w:rFonts w:ascii="Times" w:hAnsi="Times" w:cs="Times"/>
          <w:b/>
          <w:bCs/>
        </w:rPr>
        <w:t xml:space="preserve">2 </w:t>
      </w:r>
      <w:r w:rsidRPr="000D7AF8">
        <w:rPr>
          <w:rStyle w:val="normaltextrun"/>
          <w:rFonts w:ascii="Times" w:hAnsi="Times" w:cs="Times"/>
        </w:rPr>
        <w:t xml:space="preserve">jednobrzmiących </w:t>
      </w:r>
      <w:r w:rsidRPr="000D7AF8">
        <w:rPr>
          <w:rStyle w:val="contextualspellingandgrammarerror"/>
          <w:rFonts w:ascii="Times" w:hAnsi="Times" w:cs="Times"/>
        </w:rPr>
        <w:t xml:space="preserve">egzemplarzach, </w:t>
      </w:r>
      <w:r w:rsidR="00BA7ADC" w:rsidRPr="000D7AF8">
        <w:rPr>
          <w:rStyle w:val="contextualspellingandgrammarerror"/>
          <w:rFonts w:ascii="Times" w:hAnsi="Times" w:cs="Times"/>
          <w:b/>
          <w:bCs/>
        </w:rPr>
        <w:t>1</w:t>
      </w:r>
      <w:r w:rsidR="00BA7ADC" w:rsidRPr="000D7AF8"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 xml:space="preserve">dla Administratora, </w:t>
      </w:r>
      <w:r w:rsidR="00BA7ADC" w:rsidRPr="000D7AF8">
        <w:rPr>
          <w:rStyle w:val="normaltextrun"/>
          <w:rFonts w:ascii="Times" w:hAnsi="Times" w:cs="Times"/>
          <w:b/>
          <w:bCs/>
        </w:rPr>
        <w:t>1</w:t>
      </w:r>
      <w:r w:rsidR="00BA7ADC" w:rsidRPr="000D7AF8">
        <w:rPr>
          <w:rStyle w:val="normaltextrun"/>
          <w:rFonts w:ascii="Times" w:hAnsi="Times" w:cs="Times"/>
        </w:rPr>
        <w:t xml:space="preserve"> </w:t>
      </w:r>
      <w:r w:rsidRPr="000D7AF8">
        <w:rPr>
          <w:rStyle w:val="normaltextrun"/>
          <w:rFonts w:ascii="Times" w:hAnsi="Times" w:cs="Times"/>
        </w:rPr>
        <w:t>dla Przetwarzającego.</w:t>
      </w:r>
    </w:p>
    <w:p w14:paraId="03160CB7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E413AD"/>
    <w:multiLevelType w:val="hybridMultilevel"/>
    <w:tmpl w:val="DCDC8150"/>
    <w:lvl w:ilvl="0" w:tplc="3AAE969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EE47AC"/>
    <w:multiLevelType w:val="hybridMultilevel"/>
    <w:tmpl w:val="E0C46420"/>
    <w:lvl w:ilvl="0" w:tplc="BBE4ABB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9"/>
  </w:num>
  <w:num w:numId="2" w16cid:durableId="1079910813">
    <w:abstractNumId w:val="6"/>
  </w:num>
  <w:num w:numId="3" w16cid:durableId="1643996160">
    <w:abstractNumId w:val="0"/>
  </w:num>
  <w:num w:numId="4" w16cid:durableId="16737075">
    <w:abstractNumId w:val="8"/>
  </w:num>
  <w:num w:numId="5" w16cid:durableId="1036547417">
    <w:abstractNumId w:val="1"/>
  </w:num>
  <w:num w:numId="6" w16cid:durableId="2038777281">
    <w:abstractNumId w:val="13"/>
  </w:num>
  <w:num w:numId="7" w16cid:durableId="1409037951">
    <w:abstractNumId w:val="7"/>
  </w:num>
  <w:num w:numId="8" w16cid:durableId="951129453">
    <w:abstractNumId w:val="14"/>
  </w:num>
  <w:num w:numId="9" w16cid:durableId="548807280">
    <w:abstractNumId w:val="3"/>
  </w:num>
  <w:num w:numId="10" w16cid:durableId="1768115739">
    <w:abstractNumId w:val="12"/>
  </w:num>
  <w:num w:numId="11" w16cid:durableId="80761890">
    <w:abstractNumId w:val="2"/>
  </w:num>
  <w:num w:numId="12" w16cid:durableId="493492945">
    <w:abstractNumId w:val="15"/>
  </w:num>
  <w:num w:numId="13" w16cid:durableId="543367721">
    <w:abstractNumId w:val="10"/>
  </w:num>
  <w:num w:numId="14" w16cid:durableId="443618947">
    <w:abstractNumId w:val="5"/>
  </w:num>
  <w:num w:numId="15" w16cid:durableId="1206602179">
    <w:abstractNumId w:val="11"/>
  </w:num>
  <w:num w:numId="16" w16cid:durableId="391002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0D7AF8"/>
    <w:rsid w:val="002B33DD"/>
    <w:rsid w:val="00546385"/>
    <w:rsid w:val="0073085D"/>
    <w:rsid w:val="00770DDB"/>
    <w:rsid w:val="00844576"/>
    <w:rsid w:val="00AC263D"/>
    <w:rsid w:val="00B07893"/>
    <w:rsid w:val="00B97352"/>
    <w:rsid w:val="00B978C5"/>
    <w:rsid w:val="00BA7ADC"/>
    <w:rsid w:val="00BE3FC4"/>
    <w:rsid w:val="00DB5572"/>
    <w:rsid w:val="00E428B3"/>
    <w:rsid w:val="00E9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  <w:style w:type="character" w:styleId="Uwydatnienie">
    <w:name w:val="Emphasis"/>
    <w:basedOn w:val="Domylnaczcionkaakapitu"/>
    <w:uiPriority w:val="20"/>
    <w:qFormat/>
    <w:rsid w:val="007308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1602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Drażyk Jacek</cp:lastModifiedBy>
  <cp:revision>2</cp:revision>
  <dcterms:created xsi:type="dcterms:W3CDTF">2026-02-23T11:45:00Z</dcterms:created>
  <dcterms:modified xsi:type="dcterms:W3CDTF">2026-02-23T11:45:00Z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